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仿宋简体"/>
          <w:b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 w:val="0"/>
          <w:color w:val="auto"/>
          <w:sz w:val="32"/>
          <w:szCs w:val="32"/>
        </w:rPr>
        <w:t>附件</w:t>
      </w:r>
      <w:r>
        <w:rPr>
          <w:rFonts w:ascii="Times New Roman" w:hAnsi="Times New Roman" w:eastAsia="方正仿宋简体"/>
          <w:b/>
          <w:bCs w:val="0"/>
          <w:color w:val="auto"/>
          <w:sz w:val="32"/>
          <w:szCs w:val="32"/>
        </w:rPr>
        <w:t>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</w:rPr>
        <w:t>实践参考课题</w:t>
      </w:r>
    </w:p>
    <w:p>
      <w:pPr>
        <w:numPr>
          <w:ilvl w:val="0"/>
          <w:numId w:val="1"/>
        </w:numPr>
        <w:spacing w:line="520" w:lineRule="exact"/>
        <w:jc w:val="both"/>
        <w:rPr>
          <w:rFonts w:hint="eastAsia" w:ascii="Times New Roman" w:hAnsi="Times New Roman" w:eastAsia="方正黑体简体"/>
          <w:b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黑体简体"/>
          <w:b/>
          <w:bCs w:val="0"/>
          <w:color w:val="auto"/>
          <w:sz w:val="32"/>
          <w:szCs w:val="32"/>
        </w:rPr>
        <w:t>红色</w:t>
      </w:r>
      <w:r>
        <w:rPr>
          <w:rFonts w:hint="eastAsia" w:ascii="Times New Roman" w:hAnsi="Times New Roman" w:eastAsia="方正黑体简体"/>
          <w:b/>
          <w:bCs w:val="0"/>
          <w:color w:val="auto"/>
          <w:sz w:val="32"/>
          <w:szCs w:val="32"/>
          <w:lang w:eastAsia="zh-CN"/>
        </w:rPr>
        <w:t>文化创意</w:t>
      </w:r>
    </w:p>
    <w:p>
      <w:pPr>
        <w:numPr>
          <w:ilvl w:val="0"/>
          <w:numId w:val="0"/>
        </w:numPr>
        <w:spacing w:line="520" w:lineRule="exact"/>
        <w:ind w:firstLine="640"/>
        <w:jc w:val="both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1. 品味井冈山小红军微信表情包设计</w:t>
      </w:r>
    </w:p>
    <w:p>
      <w:pPr>
        <w:numPr>
          <w:ilvl w:val="0"/>
          <w:numId w:val="0"/>
        </w:numPr>
        <w:spacing w:line="520" w:lineRule="exact"/>
        <w:ind w:firstLine="640"/>
        <w:jc w:val="both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2. 井冈山青少年基地卡通人物形象设计</w:t>
      </w:r>
    </w:p>
    <w:p>
      <w:pPr>
        <w:numPr>
          <w:ilvl w:val="0"/>
          <w:numId w:val="0"/>
        </w:numPr>
        <w:spacing w:line="520" w:lineRule="exact"/>
        <w:ind w:firstLine="640"/>
        <w:jc w:val="both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纪念井冈山革命根据地创建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90周年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文化产品创意设计</w:t>
      </w:r>
    </w:p>
    <w:p>
      <w:pPr>
        <w:numPr>
          <w:ilvl w:val="0"/>
          <w:numId w:val="0"/>
        </w:numPr>
        <w:spacing w:line="520" w:lineRule="exact"/>
        <w:ind w:firstLine="640"/>
        <w:jc w:val="both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. 井冈山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斗争时期行军线路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PPT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动态地图制作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    5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 xml:space="preserve">. 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井冈山红色培训特色教室装饰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设计（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以青少年基地“学编红军草鞋”“红歌教学”“革命后代讲家风”等课程专用教室为例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    6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．井冈山革命历史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故事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动漫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（或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连环画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创作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    （备注：选题须侧重井冈山革命历史重大历史事件，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如引兵井冈、三湾改编、井冈山会师、黄洋界保卫战等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7. 《走读井冈山》系列口袋书（或电子书）设计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8. 井冈山户外教学安全知识画本设计、绘制、安全急救视频的制作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．适应于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井冈山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的校园歌曲创编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．红色微电影创作与拍摄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 xml:space="preserve">. 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红色文化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教育网络微课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1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革命历史情景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短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剧剧本创作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13. 基地校史馆设计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黑体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14. 基地校园文化设计</w:t>
      </w:r>
      <w:r>
        <w:rPr>
          <w:rFonts w:hint="default" w:ascii="Times New Roman" w:hAnsi="Times New Roman" w:eastAsia="方正黑体简体" w:cs="Times New Roman"/>
          <w:b/>
          <w:bCs w:val="0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/>
        <w:textAlignment w:val="auto"/>
        <w:rPr>
          <w:rFonts w:hint="default" w:ascii="Times New Roman" w:hAnsi="Times New Roman" w:eastAsia="方正黑体简体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 w:val="0"/>
          <w:color w:val="auto"/>
          <w:sz w:val="32"/>
          <w:szCs w:val="32"/>
          <w:lang w:val="en-US" w:eastAsia="zh-CN"/>
        </w:rPr>
        <w:t xml:space="preserve">    二</w:t>
      </w:r>
      <w:r>
        <w:rPr>
          <w:rFonts w:hint="default" w:ascii="Times New Roman" w:hAnsi="Times New Roman" w:eastAsia="方正黑体简体" w:cs="Times New Roman"/>
          <w:b/>
          <w:bCs w:val="0"/>
          <w:color w:val="auto"/>
          <w:sz w:val="32"/>
          <w:szCs w:val="32"/>
        </w:rPr>
        <w:t>、教育创新</w:t>
      </w:r>
      <w:r>
        <w:rPr>
          <w:rFonts w:hint="default" w:ascii="Times New Roman" w:hAnsi="Times New Roman" w:eastAsia="方正黑体简体" w:cs="Times New Roman"/>
          <w:b/>
          <w:bCs w:val="0"/>
          <w:color w:val="auto"/>
          <w:sz w:val="32"/>
          <w:szCs w:val="32"/>
          <w:lang w:eastAsia="zh-CN"/>
        </w:rPr>
        <w:t>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    15.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红色歌谣在革命传统教育中的课程创新设计（需设计中学生和小学生版“红歌教学”方案及课件各一套）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    16.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红色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家书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在革命传统教育中的课程创新设计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（需设计具体的课程方案及课件）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17. 基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于井冈山斗争历史的“军民鱼水情”活动课程设计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 井冈山“青年之家”创意设计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19.“智慧基地”建设方案设计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“智慧基地”即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利用先进的信息技术，实现青少年基地智慧式管理和运行）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20. 井冈山“忆苦思甜”饮食文化运用设计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21. 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糅合井冈山革命斗争史的团队建设项目活动设计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22. 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基于井冈山红色资源有效整合基础上的青少年研学营项目设计（需设计营地课程模块和具体的项目操作手册）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/>
          <w:bCs w:val="0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黑体简体" w:cs="Times New Roman"/>
          <w:b/>
          <w:bCs w:val="0"/>
          <w:color w:val="auto"/>
          <w:sz w:val="32"/>
          <w:szCs w:val="32"/>
          <w:lang w:eastAsia="zh-CN"/>
        </w:rPr>
        <w:t>、社会调查研究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．微信微博等新媒体在红色文化传播中的运用研究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24. 井冈山斗争时期党的群众工作案例研究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25. 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依托红色资源开展革命传统体验式教育模式的推广性研究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6. 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井冈山红色旅游助推“精准扶贫”调查研究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27. 新时期井冈山基层党组织建设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调查研究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28. 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井冈山斗争时期历史人物故事的采集与整理（需分类别整理故事材料）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. 井冈山红色基因教育有效性调查研究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DB3A"/>
    <w:multiLevelType w:val="singleLevel"/>
    <w:tmpl w:val="5901DB3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20B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2017-05-27T10:38:31Z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